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Phase 3 meetings and goals</w:t>
      </w:r>
    </w:p>
    <w:p w:rsidR="00000000" w:rsidDel="00000000" w:rsidP="00000000" w:rsidRDefault="00000000" w:rsidRPr="00000000" w14:paraId="00000002">
      <w:pPr>
        <w:rPr/>
      </w:pPr>
      <w:r w:rsidDel="00000000" w:rsidR="00000000" w:rsidRPr="00000000">
        <w:rPr>
          <w:rtl w:val="0"/>
        </w:rPr>
        <w:t xml:space="preserve">Phase 3 is about finalising things ready to start delivery of your service. Most of the variations in the length of time of completing earlier phases will probably have evened out by now. Most/All meetings will require your full service design group to ensure documents and strategies are approved in advance. </w:t>
      </w:r>
    </w:p>
    <w:p w:rsidR="00000000" w:rsidDel="00000000" w:rsidP="00000000" w:rsidRDefault="00000000" w:rsidRPr="00000000" w14:paraId="00000003">
      <w:pPr>
        <w:rPr/>
      </w:pPr>
      <w:r w:rsidDel="00000000" w:rsidR="00000000" w:rsidRPr="00000000">
        <w:rPr>
          <w:rtl w:val="0"/>
        </w:rPr>
        <w:t xml:space="preserve">Here we provide a suggestion of what needs to have been achieved by the end of phase 3 to make a service ready for delivery:</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Agree/finalise the service design</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Agree/finalise</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 key performance indicators (KP</w:t>
      </w:r>
      <w:r w:rsidDel="00000000" w:rsidR="00000000" w:rsidRPr="00000000">
        <w:rPr>
          <w:u w:val="single"/>
          <w:rtl w:val="0"/>
        </w:rPr>
        <w:t xml:space="preserve">I</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s)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and a timeline for </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monitoring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these</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Agree/finalise </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evaluation plan</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Identify any data that are missing from any existing data capture process that are required for </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monitoring, implementation evaluation, or further evaluation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Resolve missing data issues by adapting databases and data collection forms/processes.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Agree/finalise appropriate level of </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consent </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required for data collection and sharing</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Create/adapt suitable </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consent forms and/or privacy notices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for participants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sdt>
        <w:sdtPr>
          <w:id w:val="1164709522"/>
          <w:tag w:val="goog_rdk_0"/>
        </w:sdtPr>
        <w:sdtContent>
          <w:commentRangeStart w:id="0"/>
        </w:sdtContent>
      </w:sdt>
      <w:sdt>
        <w:sdtPr>
          <w:id w:val="-861787294"/>
          <w:tag w:val="goog_rdk_1"/>
        </w:sdtPr>
        <w:sdtContent>
          <w:commentRangeStart w:id="1"/>
        </w:sdtContent>
      </w:sd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Create any necessary </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data sharing agreements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if data is to be shared between teams and/or organisations</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Complete a </w:t>
      </w:r>
      <w:sdt>
        <w:sdtPr>
          <w:id w:val="873962821"/>
          <w:tag w:val="goog_rdk_2"/>
        </w:sdtPr>
        <w:sdtContent>
          <w:commentRangeStart w:id="2"/>
        </w:sdtContent>
      </w:sdt>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privacy impact assessment</w:t>
      </w:r>
      <w:commentRangeEnd w:id="2"/>
      <w:r w:rsidDel="00000000" w:rsidR="00000000" w:rsidRPr="00000000">
        <w:commentReference w:id="2"/>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sdt>
        <w:sdtPr>
          <w:id w:val="591447961"/>
          <w:tag w:val="goog_rdk_3"/>
        </w:sdtPr>
        <w:sdtContent>
          <w:commentRangeStart w:id="3"/>
        </w:sdtContent>
      </w:sd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Complete </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implementation plan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risk log</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financial plan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commentRangeEnd w:id="3"/>
      <w:r w:rsidDel="00000000" w:rsidR="00000000" w:rsidRPr="00000000">
        <w:commentReference w:id="3"/>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Agree/finalise </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outcome measures</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and </w:t>
      </w:r>
      <w:r w:rsidDel="00000000" w:rsidR="00000000" w:rsidRPr="00000000">
        <w:rPr>
          <w:rFonts w:ascii="Aptos" w:cs="Aptos" w:eastAsia="Aptos" w:hAnsi="Aptos"/>
          <w:b w:val="0"/>
          <w:bCs w:val="0"/>
          <w:i w:val="0"/>
          <w:iCs w:val="0"/>
          <w:smallCaps w:val="0"/>
          <w:strike w:val="0"/>
          <w:color w:val="000000"/>
          <w:sz w:val="24"/>
          <w:szCs w:val="24"/>
          <w:u w:val="single"/>
          <w:shd w:fill="auto" w:val="clear"/>
          <w:vertAlign w:val="baseline"/>
          <w:rtl w:val="0"/>
        </w:rPr>
        <w:t xml:space="preserve">data requirements</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Agree a delivery start date and date for review, prior to the commissioning end date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Identify risks to successful delivery, future commissioning, and contract management</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Agree/finalise budget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sdt>
        <w:sdtPr>
          <w:id w:val="1358606993"/>
          <w:tag w:val="goog_rdk_4"/>
        </w:sdtPr>
        <w:sdtContent>
          <w:commentRangeStart w:id="4"/>
        </w:sdtContent>
      </w:sdt>
      <w:sdt>
        <w:sdtPr>
          <w:id w:val="-663504278"/>
          <w:tag w:val="goog_rdk_5"/>
        </w:sdtPr>
        <w:sdtContent>
          <w:commentRangeStart w:id="5"/>
        </w:sdtContent>
      </w:sdt>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Negotiate contracts </w:t>
      </w:r>
      <w:commentRangeEnd w:id="4"/>
      <w:r w:rsidDel="00000000" w:rsidR="00000000" w:rsidRPr="00000000">
        <w:commentReference w:id="4"/>
      </w:r>
      <w:commentRangeEnd w:id="5"/>
      <w:r w:rsidDel="00000000" w:rsidR="00000000" w:rsidRPr="00000000">
        <w:commentReference w:id="5"/>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and sign. Eg., between commissioner and service provider, or between researcher and service provider</w:t>
      </w:r>
    </w:p>
    <w:sectPr>
      <w:pgSz w:h="16838" w:w="11906"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ara Hammond" w:id="0" w:date="2025-06-19T13:12:00Z">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we have suitable examples of data sharing agreements?</w:t>
      </w:r>
    </w:p>
  </w:comment>
  <w:comment w:author="Rachael Baum" w:id="1" w:date="2025-06-20T11:17:00Z">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imagine we have enough we have used in the past that we could adapt to act as a template? Sara will know where these are I imagine.</w:t>
      </w:r>
    </w:p>
  </w:comment>
  <w:comment w:author="Cara Hammond" w:id="3" w:date="2025-06-19T13:03:00Z">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Examples and/or templates from BSB - Sara?</w:t>
      </w:r>
    </w:p>
  </w:comment>
  <w:comment w:author="Rachael Baum" w:id="4" w:date="2025-06-20T11:18:00Z">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 we need to state here/somewhere else with whom these would be with? (examples of organisations/bodies?)</w:t>
      </w:r>
    </w:p>
  </w:comment>
  <w:comment w:author="Cara Hammond" w:id="5" w:date="2025-06-23T13:06:00Z">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 was wondering about this too - I didn’t put it in because this could be a service, or commissioner or someone else and the list of possible people to sign contracts seemed rather large, but I’m very happy if one of you has a concise-ish list to include</w:t>
      </w:r>
    </w:p>
  </w:comment>
  <w:comment w:author="Cara Hammond" w:id="2" w:date="2025-06-19T13:09:00Z">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https://ico.org.uk/media/for-organisations/documents/1042196/trilateral-full-report.pdf https://ico.org.uk/media/for-organisations/.../pia-code-of-practice.pdf</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13" w15:done="0"/>
  <w15:commentEx w15:paraId="00000014" w15:paraIdParent="00000013" w15:done="0"/>
  <w15:commentEx w15:paraId="00000015" w15:done="0"/>
  <w15:commentEx w15:paraId="00000016" w15:done="0"/>
  <w15:commentEx w15:paraId="00000017" w15:paraIdParent="00000016" w15:done="0"/>
  <w15:commentEx w15:paraId="0000001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40B7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40B7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40B7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040B78"/>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40B78"/>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40B78"/>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40B78"/>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40B78"/>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40B7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40B7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40B7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40B7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40B7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40B7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40B7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40B78"/>
    <w:rPr>
      <w:i w:val="1"/>
      <w:iCs w:val="1"/>
      <w:color w:val="404040" w:themeColor="text1" w:themeTint="0000BF"/>
    </w:rPr>
  </w:style>
  <w:style w:type="paragraph" w:styleId="ListParagraph">
    <w:name w:val="List Paragraph"/>
    <w:basedOn w:val="Normal"/>
    <w:uiPriority w:val="34"/>
    <w:qFormat w:val="1"/>
    <w:rsid w:val="00040B78"/>
    <w:pPr>
      <w:ind w:left="720"/>
      <w:contextualSpacing w:val="1"/>
    </w:pPr>
  </w:style>
  <w:style w:type="character" w:styleId="IntenseEmphasis">
    <w:name w:val="Intense Emphasis"/>
    <w:basedOn w:val="DefaultParagraphFont"/>
    <w:uiPriority w:val="21"/>
    <w:qFormat w:val="1"/>
    <w:rsid w:val="00040B78"/>
    <w:rPr>
      <w:i w:val="1"/>
      <w:iCs w:val="1"/>
      <w:color w:val="0f4761" w:themeColor="accent1" w:themeShade="0000BF"/>
    </w:rPr>
  </w:style>
  <w:style w:type="paragraph" w:styleId="IntenseQuote">
    <w:name w:val="Intense Quote"/>
    <w:basedOn w:val="Normal"/>
    <w:next w:val="Normal"/>
    <w:link w:val="IntenseQuoteChar"/>
    <w:uiPriority w:val="30"/>
    <w:qFormat w:val="1"/>
    <w:rsid w:val="00040B7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40B78"/>
    <w:rPr>
      <w:i w:val="1"/>
      <w:iCs w:val="1"/>
      <w:color w:val="0f4761" w:themeColor="accent1" w:themeShade="0000BF"/>
    </w:rPr>
  </w:style>
  <w:style w:type="character" w:styleId="IntenseReference">
    <w:name w:val="Intense Reference"/>
    <w:basedOn w:val="DefaultParagraphFont"/>
    <w:uiPriority w:val="32"/>
    <w:qFormat w:val="1"/>
    <w:rsid w:val="00040B78"/>
    <w:rPr>
      <w:b w:val="1"/>
      <w:bCs w:val="1"/>
      <w:smallCaps w:val="1"/>
      <w:color w:val="0f4761" w:themeColor="accent1" w:themeShade="0000BF"/>
      <w:spacing w:val="5"/>
    </w:rPr>
  </w:style>
  <w:style w:type="character" w:styleId="CommentReference">
    <w:name w:val="annotation reference"/>
    <w:basedOn w:val="DefaultParagraphFont"/>
    <w:uiPriority w:val="99"/>
    <w:semiHidden w:val="1"/>
    <w:unhideWhenUsed w:val="1"/>
    <w:rsid w:val="00705264"/>
    <w:rPr>
      <w:sz w:val="16"/>
      <w:szCs w:val="16"/>
    </w:rPr>
  </w:style>
  <w:style w:type="paragraph" w:styleId="CommentText">
    <w:name w:val="annotation text"/>
    <w:basedOn w:val="Normal"/>
    <w:link w:val="CommentTextChar"/>
    <w:uiPriority w:val="99"/>
    <w:unhideWhenUsed w:val="1"/>
    <w:rsid w:val="00705264"/>
    <w:pPr>
      <w:spacing w:line="240" w:lineRule="auto"/>
    </w:pPr>
    <w:rPr>
      <w:sz w:val="20"/>
      <w:szCs w:val="20"/>
    </w:rPr>
  </w:style>
  <w:style w:type="character" w:styleId="CommentTextChar" w:customStyle="1">
    <w:name w:val="Comment Text Char"/>
    <w:basedOn w:val="DefaultParagraphFont"/>
    <w:link w:val="CommentText"/>
    <w:uiPriority w:val="99"/>
    <w:rsid w:val="00705264"/>
    <w:rPr>
      <w:sz w:val="20"/>
      <w:szCs w:val="20"/>
    </w:rPr>
  </w:style>
  <w:style w:type="paragraph" w:styleId="CommentSubject">
    <w:name w:val="annotation subject"/>
    <w:basedOn w:val="CommentText"/>
    <w:next w:val="CommentText"/>
    <w:link w:val="CommentSubjectChar"/>
    <w:uiPriority w:val="99"/>
    <w:semiHidden w:val="1"/>
    <w:unhideWhenUsed w:val="1"/>
    <w:rsid w:val="00705264"/>
    <w:rPr>
      <w:b w:val="1"/>
      <w:bCs w:val="1"/>
    </w:rPr>
  </w:style>
  <w:style w:type="character" w:styleId="CommentSubjectChar" w:customStyle="1">
    <w:name w:val="Comment Subject Char"/>
    <w:basedOn w:val="CommentTextChar"/>
    <w:link w:val="CommentSubject"/>
    <w:uiPriority w:val="99"/>
    <w:semiHidden w:val="1"/>
    <w:rsid w:val="00705264"/>
    <w:rPr>
      <w:b w:val="1"/>
      <w:bCs w:val="1"/>
      <w:sz w:val="20"/>
      <w:szCs w:val="20"/>
    </w:rPr>
  </w:style>
  <w:style w:type="character" w:styleId="Hyperlink">
    <w:name w:val="Hyperlink"/>
    <w:basedOn w:val="DefaultParagraphFont"/>
    <w:uiPriority w:val="99"/>
    <w:unhideWhenUsed w:val="1"/>
    <w:rsid w:val="00021C19"/>
    <w:rPr>
      <w:color w:val="467886" w:themeColor="hyperlink"/>
      <w:u w:val="single"/>
    </w:rPr>
  </w:style>
  <w:style w:type="character" w:styleId="UnresolvedMention">
    <w:name w:val="Unresolved Mention"/>
    <w:basedOn w:val="DefaultParagraphFont"/>
    <w:uiPriority w:val="99"/>
    <w:semiHidden w:val="1"/>
    <w:unhideWhenUsed w:val="1"/>
    <w:rsid w:val="00021C19"/>
    <w:rPr>
      <w:color w:val="605e5c"/>
      <w:shd w:color="auto" w:fill="e1dfdd" w:val="clear"/>
    </w:rPr>
  </w:style>
  <w:style w:type="paragraph" w:styleId="Revision">
    <w:name w:val="Revision"/>
    <w:hidden w:val="1"/>
    <w:uiPriority w:val="99"/>
    <w:semiHidden w:val="1"/>
    <w:rsid w:val="00340C74"/>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k2Wlp05wg6CmWmOwykpIDiyB+Q==">CgMxLjAaJwoBMBIiCiAIBCocCgtBQUFCeE9qY0YtWRAIGgtBQUFCeE9qY0YtWRonCgExEiIKIAgEKhwKC0FBQUJ4T2pjRi1ZEAgaC0FBQUJ4T2pjRi1jGicKATISIgogCAQqHAoLQUFBQnhPamNGLVUQCBoLQUFBQnhPamNGLVUaJwoBMxIiCiAIBCocCgtBQUFCeE9qY0YtURAIGgtBQUFCeE9qY0YtURonCgE0EiIKIAgEKhwKC0FBQUJ4T2pjRi1nEAgaC0FBQUJ4T2pjRi1nGicKATUSIgogCAQqHAoLQUFBQnhPamNGLWcQCBoLQUFBQnhPamNGLWsiyggKC0FBQUJ4T2pjRi1ZEqAICgtBQUFCeE9qY0YtWRILQUFBQnhPamNGLVkaRQoJdGV4dC9odG1sEjhEbyB3ZSBoYXZlIHN1aXRhYmxlIGV4YW1wbGVzIG9mIGRhdGEgc2hhcmluZyBhZ3JlZW1lbnRzPyJGCgp0ZXh0L3BsYWluEjhEbyB3ZSBoYXZlIHN1aXRhYmxlIGV4YW1wbGVzIG9mIGRhdGEgc2hhcmluZyBhZ3JlZW1lbnRzPypFCgxDYXJhIEhhbW1vbmQaNS8vc3NsLmdzdGF0aWMuY29tL2RvY3MvY29tbW9uL2JsdWVfc2lsaG91ZXR0ZTk2LTAucG5nMICixcL4Mjjgx7no+DJChQUKC0FBQUJ4T2pjRi1jEgtBQUFCeE9qY0YtWRqTAQoJdGV4dC9odG1sEoUBSSBpbWFnaW5lIHdlIGhhdmUgZW5vdWdoIHdlIGhhdmUgdXNlZCBpbiB0aGUgcGFzdCB0aGF0IHdlIGNvdWxkIGFkYXB0IHRvIGFjdCBhcyBhIHRlbXBsYXRlPyBTYXJhIHdpbGwga25vdyB3aGVyZSB0aGVzZSBhcmUgSSBpbWFnaW5lLiKUAQoKdGV4dC9wbGFpbhKFAUkgaW1hZ2luZSB3ZSBoYXZlIGVub3VnaCB3ZSBoYXZlIHVzZWQgaW4gdGhlIHBhc3QgdGhhdCB3ZSBjb3VsZCBhZGFwdCB0byBhY3QgYXMgYSB0ZW1wbGF0ZT8gU2FyYSB3aWxsIGtub3cgd2hlcmUgdGhlc2UgYXJlIEkgaW1hZ2luZS4qRQoMUmFjaGFlbCBCYXVtGjUvL3NzbC5nc3RhdGljLmNvbS9kb2NzL2NvbW1vbi9ibHVlX3NpbGhvdWV0dGU5Ni0wLnBuZzDgx7no+DI44Me56PgyckcKDFJhY2hhZWwgQmF1bRo3CjUvL3NzbC5nc3RhdGljLmNvbS9kb2NzL2NvbW1vbi9ibHVlX3NpbGhvdWV0dGU5Ni0wLnBuZ3gAiAEBmgEGCAAQABgAqgGIARKFAUkgaW1hZ2luZSB3ZSBoYXZlIGVub3VnaCB3ZSBoYXZlIHVzZWQgaW4gdGhlIHBhc3QgdGhhdCB3ZSBjb3VsZCBhZGFwdCB0byBhY3QgYXMgYSB0ZW1wbGF0ZT8gU2FyYSB3aWxsIGtub3cgd2hlcmUgdGhlc2UgYXJlIEkgaW1hZ2luZS6wAQC4AQFyRwoMQ2FyYSBIYW1tb25kGjcKNS8vc3NsLmdzdGF0aWMuY29tL2RvY3MvY29tbW9uL2JsdWVfc2lsaG91ZXR0ZTk2LTAucG5neACIAQGaAQYIABAAGACqAToSOERvIHdlIGhhdmUgc3VpdGFibGUgZXhhbXBsZXMgb2YgZGF0YSBzaGFyaW5nIGFncmVlbWVudHM/sAEAuAEBGICixcL4MiDgx7no+DIwAEIIa2l4LmNtdDAimAMKC0FBQUJ4T2pjRi1REu4CCgtBQUFCeE9qY0YtURILQUFBQnhPamNGLVEaNwoJdGV4dC9odG1sEipFeGFtcGxlcyBhbmQvb3IgdGVtcGxhdGVzIGZyb20gQlNCIC0gU2FyYT8iOAoKdGV4dC9wbGFpbhIqRXhhbXBsZXMgYW5kL29yIHRlbXBsYXRlcyBmcm9tIEJTQiAtIFNhcmE/KkUKDENhcmEgSGFtbW9uZBo1Ly9zc2wuZ3N0YXRpYy5jb20vZG9jcy9jb21tb24vYmx1ZV9zaWxob3VldHRlOTYtMC5wbmcwoKekwvgyOKCnpML4MnJHCgxDYXJhIEhhbW1vbmQaNwo1Ly9zc2wuZ3N0YXRpYy5jb20vZG9jcy9jb21tb24vYmx1ZV9zaWxob3VldHRlOTYtMC5wbmd4AIgBAZoBBggAEAAYAKoBLBIqRXhhbXBsZXMgYW5kL29yIHRlbXBsYXRlcyBmcm9tIEJTQiAtIFNhcmE/sAEAuAEBGKCnpML4MiCgp6TC+DIwAEIIa2l4LmNtdDMi1wwKC0FBQUJ4T2pjRi1nEq0MCgtBQUFCeE9qY0YtZxILQUFBQnhPamNGLWcadwoJdGV4dC9odG1sEmpEbyB3ZSBuZWVkIHRvIHN0YXRlIGhlcmUvc29tZXdoZXJlIGVsc2Ugd2l0aCB3aG9tIHRoZXNlIHdvdWxkIGJlIHdpdGg/IChleGFtcGxlcyBvZiBvcmdhbmlzYXRpb25zL2JvZGllcz8pIngKCnRleHQvcGxhaW4SakRvIHdlIG5lZWQgdG8gc3RhdGUgaGVyZS9zb21ld2hlcmUgZWxzZSB3aXRoIHdob20gdGhlc2Ugd291bGQgYmUgd2l0aD8gKGV4YW1wbGVzIG9mIG9yZ2FuaXNhdGlvbnMvYm9kaWVzPykqRQoMUmFjaGFlbCBCYXVtGjUvL3NzbC5nc3RhdGljLmNvbS9kb2NzL2NvbW1vbi9ibHVlX3NpbGhvdWV0dGU5Ni0wLnBuZzDAnL3o+DI4wIWV5/kyQvwHCgtBQUFCeE9qY0YtaxILQUFBQnhPamNGLWcakAIKCXRleHQvaHRtbBKCAkkgd2FzIHdvbmRlcmluZyBhYm91dCB0aGlzIHRvbyAtIEkgZGlkbuKAmXQgcHV0IGl0IGluIGJlY2F1c2UgdGhpcyBjb3VsZCBiZSBhIHNlcnZpY2UsIG9yIGNvbW1pc3Npb25lciBvciBzb21lb25lIGVsc2UgYW5kIHRoZSBsaXN0IG9mIHBvc3NpYmxlIHBlb3BsZSB0byBzaWduIGNvbnRyYWN0cyBzZWVtZWQgcmF0aGVyIGxhcmdlLCBidXQgSeKAmW0gdmVyeSBoYXBweSBpZiBvbmUgb2YgeW91IGhhcyBhIGNvbmNpc2UtaXNoIGxpc3QgdG8gaW5jbHVkZSKRAgoKdGV4dC9wbGFpbhKCAkkgd2FzIHdvbmRlcmluZyBhYm91dCB0aGlzIHRvbyAtIEkgZGlkbuKAmXQgcHV0IGl0IGluIGJlY2F1c2UgdGhpcyBjb3VsZCBiZSBhIHNlcnZpY2UsIG9yIGNvbW1pc3Npb25lciBvciBzb21lb25lIGVsc2UgYW5kIHRoZSBsaXN0IG9mIHBvc3NpYmxlIHBlb3BsZSB0byBzaWduIGNvbnRyYWN0cyBzZWVtZWQgcmF0aGVyIGxhcmdlLCBidXQgSeKAmW0gdmVyeSBoYXBweSBpZiBvbmUgb2YgeW91IGhhcyBhIGNvbmNpc2UtaXNoIGxpc3QgdG8gaW5jbHVkZSpFCgxDYXJhIEhhbW1vbmQaNS8vc3NsLmdzdGF0aWMuY29tL2RvY3MvY29tbW9uL2JsdWVfc2lsaG91ZXR0ZTk2LTAucG5nMMCFlef5MjjAhZXn+TJyRwoMQ2FyYSBIYW1tb25kGjcKNS8vc3NsLmdzdGF0aWMuY29tL2RvY3MvY29tbW9uL2JsdWVfc2lsaG91ZXR0ZTk2LTAucG5neACIAQGaAQYIABAAGACqAYUCEoICSSB3YXMgd29uZGVyaW5nIGFib3V0IHRoaXMgdG9vIC0gSSBkaWRu4oCZdCBwdXQgaXQgaW4gYmVjYXVzZSB0aGlzIGNvdWxkIGJlIGEgc2VydmljZSwgb3IgY29tbWlzc2lvbmVyIG9yIHNvbWVvbmUgZWxzZSBhbmQgdGhlIGxpc3Qgb2YgcG9zc2libGUgcGVvcGxlIHRvIHNpZ24gY29udHJhY3RzIHNlZW1lZCByYXRoZXIgbGFyZ2UsIGJ1dCBJ4oCZbSB2ZXJ5IGhhcHB5IGlmIG9uZSBvZiB5b3UgaGFzIGEgY29uY2lzZS1pc2ggbGlzdCB0byBpbmNsdWRlsAEAuAEBckcKDFJhY2hhZWwgQmF1bRo3CjUvL3NzbC5nc3RhdGljLmNvbS9kb2NzL2NvbW1vbi9ibHVlX3NpbGhvdWV0dGU5Ni0wLnBuZ3gAiAEBmgEGCAAQABgAqgFsEmpEbyB3ZSBuZWVkIHRvIHN0YXRlIGhlcmUvc29tZXdoZXJlIGVsc2Ugd2l0aCB3aG9tIHRoZXNlIHdvdWxkIGJlIHdpdGg/IChleGFtcGxlcyBvZiBvcmdhbmlzYXRpb25zL2JvZGllcz8psAEAuAEBGMCcvej4MiDAhZXn+TIwAEIIa2l4LmNtdDQigRAKC0FBQUJ4T2pjRi1VEtcPCgtBQUFCeE9qY0YtVRILQUFBQnhPamNGLVUarwYKCXRleHQvaHRtbBKhBjxhIGhyZWY9Imh0dHBzOi8vd3d3Lmdvb2dsZS5jb20vdXJsP3E9aHR0cHM6Ly9pY28ub3JnLnVrL21lZGlhL2Zvci1vcmdhbmlzYXRpb25zL2RvY3VtZW50cy8xMDQyMTk2L3RyaWxhdGVyYWwtZnVsbC1yZXBvcnQucGRmJmFtcDtzYT1EJmFtcDtzb3VyY2U9ZG9jcyZhbXA7dXN0PTE3Njc2MDc4NTMxNzM4NjYmYW1wO3VzZz1BT3ZWYXcxRGIwMDlfYWlEZHh1cnlYRG93VWtmIiBkYXRhLXJhd2hyZWY9Imh0dHBzOi8vaWNvLm9yZy51ay9tZWRpYS9mb3Itb3JnYW5pc2F0aW9ucy9kb2N1bWVudHMvMTA0MjE5Ni90cmlsYXRlcmFsLWZ1bGwtcmVwb3J0LnBkZiIgdGFyZ2V0PSJfYmxhbmsiPmh0dHBzOi8vaWNvLm9yZy51ay9tZWRpYS9mb3Itb3JnYW5pc2F0aW9ucy9kb2N1bWVudHMvMTA0MjE5Ni90cmlsYXRlcmFsLWZ1bGwtcmVwb3J0LnBkZjwvYT4gPGEgaHJlZj0iaHR0cHM6Ly93d3cuZ29vZ2xlLmNvbS91cmw/cT1odHRwczovL2ljby5vcmcudWsvbWVkaWEvZm9yLW9yZ2FuaXNhdGlvbnMvLi4uL3BpYS1jb2RlLW9mLXByYWN0aWNlLnBkZiZhbXA7c2E9RCZhbXA7c291cmNlPWRvY3MmYW1wO3VzdD0xNzY3NjA3ODUzMTczOTY5JmFtcDt1c2c9QU92VmF3MWhRS0xVMWZLX2ZfQk1RZ3N3SDZCdiIgZGF0YS1yYXdocmVmPSJodHRwczovL2ljby5vcmcudWsvbWVkaWEvZm9yLW9yZ2FuaXNhdGlvbnMvLi4uL3BpYS1jb2RlLW9mLXByYWN0aWNlLnBkZiIgdGFyZ2V0PSJfYmxhbmsiPmh0dHBzOi8vaWNvLm9yZy51ay9tZWRpYS9mb3Itb3JnYW5pc2F0aW9ucy8uLi4vcGlhLWNvZGUtb2YtcHJhY3RpY2UucGRmPC9hPiKuAQoKdGV4dC9wbGFpbhKfAWh0dHBzOi8vaWNvLm9yZy51ay9tZWRpYS9mb3Itb3JnYW5pc2F0aW9ucy9kb2N1bWVudHMvMTA0MjE5Ni90cmlsYXRlcmFsLWZ1bGwtcmVwb3J0LnBkZiBodHRwczovL2ljby5vcmcudWsvbWVkaWEvZm9yLW9yZ2FuaXNhdGlvbnMvLi4uL3BpYS1jb2RlLW9mLXByYWN0aWNlLnBkZipFCgxDYXJhIEhhbW1vbmQaNS8vc3NsLmdzdGF0aWMuY29tL2RvY3MvY29tbW9uL2JsdWVfc2lsaG91ZXR0ZTk2LTAucG5nMOCjusL4Mjjgo7rC+DJyRwoMQ2FyYSBIYW1tb25kGjcKNS8vc3NsLmdzdGF0aWMuY29tL2RvY3MvY29tbW9uL2JsdWVfc2lsaG91ZXR0ZTk2LTAucG5neACIAQGaAQYIABAAGACqAaQGEqEGPGEgaHJlZj0iaHR0cHM6Ly93d3cuZ29vZ2xlLmNvbS91cmw/cT1odHRwczovL2ljby5vcmcudWsvbWVkaWEvZm9yLW9yZ2FuaXNhdGlvbnMvZG9jdW1lbnRzLzEwNDIxOTYvdHJpbGF0ZXJhbC1mdWxsLXJlcG9ydC5wZGYmYW1wO3NhPUQmYW1wO3NvdXJjZT1kb2NzJmFtcDt1c3Q9MTc2NzYwNzg1MzE3Mzg2NiZhbXA7dXNnPUFPdlZhdzFEYjAwOV9haURkeHVyeVhEb3dVa2YiIGRhdGEtcmF3aHJlZj0iaHR0cHM6Ly9pY28ub3JnLnVrL21lZGlhL2Zvci1vcmdhbmlzYXRpb25zL2RvY3VtZW50cy8xMDQyMTk2L3RyaWxhdGVyYWwtZnVsbC1yZXBvcnQucGRmIiB0YXJnZXQ9Il9ibGFuayI+aHR0cHM6Ly9pY28ub3JnLnVrL21lZGlhL2Zvci1vcmdhbmlzYXRpb25zL2RvY3VtZW50cy8xMDQyMTk2L3RyaWxhdGVyYWwtZnVsbC1yZXBvcnQucGRmPC9hPiA8YSBocmVmPSJodHRwczovL3d3dy5nb29nbGUuY29tL3VybD9xPWh0dHBzOi8vaWNvLm9yZy51ay9tZWRpYS9mb3Itb3JnYW5pc2F0aW9ucy8uLi4vcGlhLWNvZGUtb2YtcHJhY3RpY2UucGRmJmFtcDtzYT1EJmFtcDtzb3VyY2U9ZG9jcyZhbXA7dXN0PTE3Njc2MDc4NTMxNzM5NjkmYW1wO3VzZz1BT3ZWYXcxaFFLTFUxZktfZl9CTVFnc3dINkJ2IiBkYXRhLXJhd2hyZWY9Imh0dHBzOi8vaWNvLm9yZy51ay9tZWRpYS9mb3Itb3JnYW5pc2F0aW9ucy8uLi4vcGlhLWNvZGUtb2YtcHJhY3RpY2UucGRmIiB0YXJnZXQ9Il9ibGFuayI+aHR0cHM6Ly9pY28ub3JnLnVrL21lZGlhL2Zvci1vcmdhbmlzYXRpb25zLy4uLi9waWEtY29kZS1vZi1wcmFjdGljZS5wZGY8L2E+sAEAuAEBGOCjusL4MiDgo7rC+DIwAEIIa2l4LmNtdDI4AHIhMUNmdGFKVzNlSy1rT19MOGM3VG5aUGlnYnlBQnlidE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2025-06-19T11:00:00Z</dcterms:created>
  <dc:creator>Cara Hammond</dc:creator>
</cp:coreProperties>
</file>